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ind w:left="420" w:leftChars="200"/>
        <w:rPr>
          <w:rFonts w:hint="eastAsia" w:ascii="宋体" w:hAnsi="宋体" w:eastAsia="宋体" w:cs="宋体"/>
          <w:b/>
          <w:bCs/>
          <w:strike w:val="0"/>
          <w:dstrike w:val="0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/>
        </w:rPr>
        <w:t xml:space="preserve">              </w:t>
      </w:r>
      <w:r>
        <w:rPr>
          <w:rFonts w:hint="eastAsia" w:ascii="宋体" w:hAnsi="宋体"/>
          <w:strike w:val="0"/>
          <w:dstrike w:val="0"/>
          <w:color w:val="000000" w:themeColor="text1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 w:themeColor="text1"/>
          <w:sz w:val="28"/>
          <w:szCs w:val="28"/>
          <w:lang w:eastAsia="zh-CN"/>
        </w:rPr>
        <w:t>浅析经济史的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 w:themeColor="text1"/>
          <w:sz w:val="28"/>
          <w:szCs w:val="28"/>
        </w:rPr>
        <w:t>命题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 w:themeColor="text1"/>
          <w:sz w:val="28"/>
          <w:szCs w:val="28"/>
          <w:lang w:eastAsia="zh-CN"/>
        </w:rPr>
        <w:t>特点及</w:t>
      </w:r>
      <w:r>
        <w:rPr>
          <w:rFonts w:hint="eastAsia" w:ascii="宋体" w:hAnsi="宋体" w:cs="宋体"/>
          <w:b/>
          <w:bCs/>
          <w:strike w:val="0"/>
          <w:dstrike w:val="0"/>
          <w:color w:val="000000" w:themeColor="text1"/>
          <w:sz w:val="28"/>
          <w:szCs w:val="28"/>
          <w:lang w:eastAsia="zh-CN"/>
        </w:rPr>
        <w:t>备考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 w:themeColor="text1"/>
          <w:sz w:val="28"/>
          <w:szCs w:val="28"/>
          <w:lang w:eastAsia="zh-CN"/>
        </w:rPr>
        <w:t>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ind w:left="420" w:leftChars="200"/>
        <w:rPr>
          <w:rFonts w:hint="default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trike w:val="0"/>
          <w:dstrike w:val="0"/>
          <w:color w:val="000000" w:themeColor="text1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lang w:val="en-US" w:eastAsia="zh-CN"/>
        </w:rPr>
        <w:t xml:space="preserve"> 河北省历史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lang w:val="en-US" w:eastAsia="zh-CN"/>
        </w:rPr>
        <w:t>特级教师  高彦群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ind w:left="420" w:left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ind w:left="420" w:left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</w:rPr>
        <w:t>20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</w:rPr>
        <w:t>年全国高考文综历史试卷对经济史的命题，在考查应备知识、关键能力、学科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</w:rPr>
        <w:t>素养和核心价值的基础上，突出了对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  <w:lang w:eastAsia="zh-CN"/>
        </w:rPr>
        <w:t>历史阐释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  <w:lang w:eastAsia="zh-CN"/>
        </w:rPr>
        <w:t>史料实证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  <w:lang w:eastAsia="zh-CN"/>
        </w:rPr>
        <w:t>和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  <w:lang w:eastAsia="zh-CN"/>
        </w:rPr>
        <w:t>唯物史观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</w:rPr>
        <w:t>的具体考查。下面我们就其考查方向及应考策略进行探讨。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一、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突出对重点知识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的考查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ind w:firstLine="2100" w:firstLineChars="10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20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 xml:space="preserve">年全国卷对经济史知识的考查情况 </w:t>
      </w:r>
    </w:p>
    <w:tbl>
      <w:tblPr>
        <w:tblStyle w:val="2"/>
        <w:tblW w:w="8541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024"/>
        <w:gridCol w:w="327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ind w:firstLine="105" w:firstLineChars="50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卷源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古代中国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近现代中国经济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世界近现代经济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Ⅰ卷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26.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  <w:lang w:eastAsia="zh-CN"/>
              </w:rPr>
              <w:t>古代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农耕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近代民族企业29.民族工业的曲折发展30.新民主主义经济31.国企改革45.清末新政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34.工业革命35.经济区域集团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Ⅱ卷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古代官营手工业41.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  <w:lang w:eastAsia="zh-CN"/>
              </w:rPr>
              <w:t>清代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水利建设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28.资本输出31.对外开放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41.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  <w:lang w:eastAsia="zh-CN"/>
              </w:rPr>
              <w:t>现代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水利建设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42.欧洲经济一体化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Ⅲ卷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24.古代商业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25.屯田制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28.洋务运动30.民族工业曲折发展31.国企改革42.农村改革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45.农奴制改革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jc w:val="left"/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由表可知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其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特点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第一，全面覆盖主干知识。既包含了中国古代农业、手工业、商业及经济政策（屯田制），也涵盖了近代民族工业、新民主主义经济、新中国成立后的水利建设和新时期的改革开放；既考查了工业革命、经济区域集团化，还涉及到了古希腊城邦兴起及中德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建立战略伙伴关系的经济条件、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宗教改革和俄农奴制改革对经济的促进作用等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没有回避对同一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重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点的不同年的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高频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考查和同一年不同试卷的重复考查以及同一试卷的重复考查。如2018年Ⅰ卷（34题）、2019年的Ⅰ卷（33题）和今年的Ⅰ卷（34题）都考了工业革命；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今年的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Ⅰ、Ⅲ卷的31题，都考了国企改革；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今年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Ⅰ卷的31和41题，Ⅲ卷的31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42题都考了改革开放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备考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策略：第一，鉴于对知识点考查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全面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性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特点，我们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在纵向复习阶段，对所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学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知识按照时序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进行系统归纳，构建网络知识体系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。即先把握所复习专题的纵向主线索，再把重难点横向串联起来进行比较。如对近代中国经济史的复习，需先以近代民族资本主义的曲折发展历程为主线索，纵向上分兴起、初步发展、进一步发展、短暂发展和进入困境五个阶段，分别从原因、表现、特点和影响方面通过列表对比归纳；再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列表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近代几种经济形态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从产生条件、发展概况特征、地位、结果及影响等方面去比较归纳。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ind w:firstLine="3360" w:firstLineChars="16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近代经济结构表</w:t>
      </w:r>
    </w:p>
    <w:tbl>
      <w:tblPr>
        <w:tblStyle w:val="2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14"/>
        <w:gridCol w:w="1122"/>
        <w:gridCol w:w="930"/>
        <w:gridCol w:w="1580"/>
        <w:gridCol w:w="167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经济形态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自然经济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外国资本主义经济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洋务经济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民族资本主义经济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官僚资本主义经济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新民主主义经济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 xml:space="preserve"> 第二，针对同一知识点的重复考查，不仅注重把握主干知识的前因后果，还需以点带题，通过做“对点题”和“变式题”，从不同的考查角度对其进行反复练习，形成举一反三的能力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在练习题使用方面，第一轮复习使用简单题，避免大量做4、5月份的模拟难题，以提高自信心；在复习节奏上，别一味赶进度，可采用滚动式复习法解决知识遗忘问题，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从而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为二轮复习的能力提升打下坚实基础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ind w:firstLine="210" w:firstLineChars="1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二、所占分值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比例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稳定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上升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ind w:firstLine="1680" w:firstLineChars="8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 xml:space="preserve">2020 年高考经济史所占分值情况 </w:t>
      </w:r>
    </w:p>
    <w:tbl>
      <w:tblPr>
        <w:tblStyle w:val="2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588"/>
        <w:gridCol w:w="233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bookmarkStart w:id="0" w:name="qihoosnap3"/>
            <w:bookmarkEnd w:id="0"/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卷源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全国新课表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Ⅰ卷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Ⅱ卷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Ⅲ卷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7道28分（去年6道24分）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3道12分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（去年4道16分）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6道24分（去年6道24分）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非选择题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1.5道24分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（去年1.5道27分）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1.8道34分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（去年1.5道31分）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2.5道28分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（去年无）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由表可知，经济史所占分值与去年相比，Ⅰ卷和Ⅱ卷与去年基本持平，均超过50分；Ⅲ卷“大小年”特征仍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很明显，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猛然上升到到52分。选择题部分，完全考查经济的Ⅰ、Ⅲ卷各有5道，Ⅱ卷3道；非选择题部分，完全考查经济的Ⅱ套（41题）、Ⅲ卷（42题），Ⅰ、Ⅲ卷（45题）；答案点涉及到经济内容的除了Ⅰ套第41题第（2）（3）问中德建立战略伙伴关系的条件及启示；Ⅱ套第46题第（2）问，20世纪20、30年代反战和平运动的作用和第47题第（2）问竺可桢取得成就的原因以及Ⅲ卷第46题，冀鲁豫抗日根据地建立的条件等也涉及到了经济发展等答案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备考策略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：鉴于经济内容分值比重大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及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Ⅲ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卷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“大小年”特征，预计202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年高考Ⅰ、Ⅱ卷的经济考查还会保持高比例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Ⅲ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卷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选择题会降低分值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，而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非选择题第41题会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全面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考查经济内容。因此，我们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加强对经济史的主观题定时训练，把握审题技巧（对所设问题按求答项、主体项、限定项和提示项审析）和解题规范（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书写答案时做到提钢化、段落化、序号化和术语化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），尤其是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把握“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依据分值把点答全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”这个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得高分的关键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。如Ⅱ卷第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41题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中“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分析新中国成立后治理海河的特点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按分值提示需答6点，而依据材料文字信息只能归纳出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“党的重视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科学规划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综合建设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专门机构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常态建设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协调配合”等5点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，这就促使我们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依据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“新中国成立后”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时间信息，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推出“河流治理、水利建设与社会主义工业化建设相结合”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答案点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</w:rPr>
        <w:t>三、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侧重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</w:rPr>
        <w:t>对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基本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</w:rPr>
        <w:t>史学素养的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综合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1"/>
          <w:szCs w:val="21"/>
        </w:rPr>
        <w:t>考查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 xml:space="preserve">                2020年高考的设置特点情况 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4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890" w:firstLineChars="900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题干时间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设问标志性词语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全国Ⅰ卷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26.宋代28.1876年31.1983年32.古代雅典33.16世纪34.19世纪60、70年代35.1992年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26.说明28.据此可知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31.由此可以看出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全国Ⅱ卷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27.明代，28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.1894-1914，31.1978年底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27.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sz w:val="21"/>
                <w:szCs w:val="21"/>
              </w:rPr>
              <w:t>反映，28.据图9可知，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全国Ⅲ卷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24.商周至汉，25.东汉末年，30.19世纪40年代中后期，31.1983年，32.1549-1560年，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28.表明，30.说明，31.反映，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 w:themeColor="text1"/>
                <w:kern w:val="0"/>
                <w:sz w:val="21"/>
                <w:szCs w:val="21"/>
              </w:rPr>
              <w:t>32.反映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据表可知，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历史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不同于其他学科的特点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就是每道题都具有时间信息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；关于设问关键词语，虽然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前因后果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”设问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比去年有所增加，如Ⅰ卷中的第29题（结果）、30题（作用）和34题（原因）Ⅱ卷中第31题（目的）Ⅲ卷中的24题（原因）和25题（客观作用）但“反映、表明、说明、据此可知”等标志性设问词语还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是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主打项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加上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选项设置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的复杂多样性，更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体现了高考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侧重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对时空观念、史料实证、历史解释等核心素养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考查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如Ⅲ卷第28题对洋务企业的考查，其所设选项对清政府的自救运动的相关知识进行了整合，知识的容量较大。我们需对商战、民间投资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设厂求富自强和民用企业等概念有正确的认知，再结合题干中“须华商自立公司”及隐含的洋务运动的时代背景才可准确判断。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rPr>
          <w:rStyle w:val="8"/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 w:themeColor="text1"/>
          <w:kern w:val="0"/>
          <w:sz w:val="21"/>
          <w:szCs w:val="21"/>
        </w:rPr>
        <w:t>应对策略：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第一，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对时空观念素养考查的试题，只要我们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把握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主干知识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的时空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概念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并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善于运用技能技巧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，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当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依据材料不能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直接选定时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，可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运用排除法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把不符合时空范围的事件或不符合时代特征的表述予以排除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。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第二，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对“表明、反映、说明、理解”等标志性词语的题目一般不能脱离材料从本质或前因后果上去选定。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注重对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历史概念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的考查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2020年高考在注重考查是时空概念的同时，特别加强了对本学科及相关学科术语概念的考查。Ⅰ卷第26、29、30、31和45题，分别考查了区域经济、市场交易成本、公私合营、经济所有制结构和清末新政等概念；Ⅱ卷第27、28、31题考查雇佣劳动、贸易逆差和国营企业；Ⅲ套第25、31、32题分别考查了屯田、工匠和现代企业制度等。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均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体现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高考对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历史阐释素养的评价导向。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textAlignment w:val="center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复习对策：一要全面把握概念的内涵外延。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shd w:val="clear" w:color="auto" w:fill="FFFFFF"/>
        </w:rPr>
        <w:t>二要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区分不同或相近概念，经常归纳易错易混点。如自然经济与小农经济、资本原始积累与资本积累、罗斯福新政与凯恩斯主义、货币理论与供给理论、美国新经济与苏俄新经济政策等。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、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体现对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唯物史观素养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0" w:leftChars="200" w:firstLine="0" w:firstLineChars="0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2020年高考，在题干取材、设问及选项设置上，延续考查经济与政治、文化、社会生活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的辩证关系。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第一，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在经济与政治的关系方面，Ⅰ卷34题中的工业革命经济的发展导致两大政治对立阶级产生的关系；41题中的经济政策与现代外交的辩证关系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45题中的清末新政与经济发展的关系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。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第二，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在经济与文化的关系方面，Ⅰ卷28题中的西学文化与兴办实业经济的辩证关系，体现文化反作用于经济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Ⅲ卷32题宗教改革对日内瓦经济发展的影响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。第三，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在军事与经济关系方面，Ⅲ卷46题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中的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农村自然经济对冀鲁豫抗日根据地建立的条件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。第四，在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经济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、政治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与社会生活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的关系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方面，Ⅲ卷第29题从中国度量衡的社会生活状况切入考查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val="en-US" w:eastAsia="zh-CN"/>
        </w:rPr>
        <w:t>20世纪20年代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军阀割据期间度量衡的不统一，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从而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提高市场交易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的经济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成本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复习策略：在第二轮通史复习中，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需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要</w:t>
      </w:r>
      <w:r>
        <w:rPr>
          <w:rFonts w:hint="eastAsia" w:ascii="宋体" w:hAnsi="宋体" w:cs="宋体"/>
          <w:strike w:val="0"/>
          <w:dstrike w:val="0"/>
          <w:color w:val="000000" w:themeColor="text1"/>
          <w:kern w:val="0"/>
          <w:sz w:val="21"/>
          <w:szCs w:val="21"/>
          <w:lang w:eastAsia="zh-CN"/>
        </w:rPr>
        <w:t>我们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kern w:val="0"/>
          <w:sz w:val="21"/>
          <w:szCs w:val="21"/>
        </w:rPr>
        <w:t>归纳出某一阶段内经济、政治、文化和社会生活的特征及其之间的辩证关系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。在遇有考查唯物史观素养的试题时，解答的关键就是运用经济决定政治、文化和社会生活，政治、文化和社会生活反作用于经济的辩证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1"/>
          <w:szCs w:val="21"/>
          <w:lang w:eastAsia="zh-CN"/>
        </w:rPr>
        <w:t>史观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  <w:t>。Ⅱ卷46题第（2）问，明治政府在“西南战争”中军事胜利的意义，联系军事反作用经济的原理，即可得出“有利于发展资本主义经济”的经济意义。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240" w:lineRule="auto"/>
        <w:ind w:firstLine="420" w:firstLine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综上所述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我们只要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eastAsia="zh-CN"/>
        </w:rPr>
        <w:t>把握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高考考查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eastAsia="zh-CN"/>
        </w:rPr>
        <w:t>基本历史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素养这一原则，全面系统地把握主干知识的内涵和外延，在训练中不断提升自己的学科素养能力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就能够在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-CN"/>
        </w:rPr>
        <w:t>高考中立于不败之地。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strike w:val="0"/>
          <w:dstrike w:val="0"/>
          <w:color w:val="000000" w:themeColor="text1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F85D"/>
    <w:multiLevelType w:val="singleLevel"/>
    <w:tmpl w:val="0591F85D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429D3BC7"/>
    <w:multiLevelType w:val="multilevel"/>
    <w:tmpl w:val="429D3BC7"/>
    <w:lvl w:ilvl="0" w:tentative="0">
      <w:start w:val="27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87110BB"/>
    <w:multiLevelType w:val="multilevel"/>
    <w:tmpl w:val="687110BB"/>
    <w:lvl w:ilvl="0" w:tentative="0">
      <w:start w:val="28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B11"/>
    <w:rsid w:val="0015063C"/>
    <w:rsid w:val="004105E6"/>
    <w:rsid w:val="00616106"/>
    <w:rsid w:val="00A81B11"/>
    <w:rsid w:val="017D7F81"/>
    <w:rsid w:val="0B6962C5"/>
    <w:rsid w:val="0C7F7B4E"/>
    <w:rsid w:val="138115B1"/>
    <w:rsid w:val="15932DA7"/>
    <w:rsid w:val="2C3E465F"/>
    <w:rsid w:val="315851EE"/>
    <w:rsid w:val="326E4D1F"/>
    <w:rsid w:val="33EC445E"/>
    <w:rsid w:val="3B675512"/>
    <w:rsid w:val="42896031"/>
    <w:rsid w:val="469A0B36"/>
    <w:rsid w:val="4DE92A11"/>
    <w:rsid w:val="5348776D"/>
    <w:rsid w:val="5C004786"/>
    <w:rsid w:val="61F17226"/>
    <w:rsid w:val="6D510A59"/>
    <w:rsid w:val="79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 New Romans" w:hAnsi="Time New Romans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0"/>
    <w:basedOn w:val="1"/>
    <w:qFormat/>
    <w:uiPriority w:val="0"/>
    <w:rPr>
      <w:rFonts w:ascii="Time New Romans" w:hAnsi="Time New Romans" w:cs="宋体"/>
      <w:kern w:val="2"/>
      <w:sz w:val="24"/>
      <w:szCs w:val="24"/>
    </w:rPr>
  </w:style>
  <w:style w:type="paragraph" w:customStyle="1" w:styleId="6">
    <w:name w:val="正文_0"/>
    <w:basedOn w:val="1"/>
    <w:qFormat/>
    <w:uiPriority w:val="0"/>
    <w:rPr>
      <w:kern w:val="2"/>
    </w:rPr>
  </w:style>
  <w:style w:type="paragraph" w:customStyle="1" w:styleId="7">
    <w:name w:val="Normal_1"/>
    <w:basedOn w:val="1"/>
    <w:qFormat/>
    <w:uiPriority w:val="0"/>
    <w:rPr>
      <w:rFonts w:ascii="Time New Romans" w:hAnsi="Time New Romans" w:cs="宋体"/>
      <w:kern w:val="2"/>
    </w:rPr>
  </w:style>
  <w:style w:type="character" w:customStyle="1" w:styleId="8">
    <w:name w:val="10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795</Words>
  <Characters>4535</Characters>
  <Lines>37</Lines>
  <Paragraphs>10</Paragraphs>
  <TotalTime>8</TotalTime>
  <ScaleCrop>false</ScaleCrop>
  <LinksUpToDate>false</LinksUpToDate>
  <CharactersWithSpaces>5320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2020-07-13T02:13:00Z</dcterms:created>
  <dc:creator>admin</dc:creator>
  <cp:lastModifiedBy>独语天涯</cp:lastModifiedBy>
  <dcterms:modified xsi:type="dcterms:W3CDTF">2020-07-14T03:11:39Z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